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03" w:rsidRDefault="00473E50">
      <w:pPr>
        <w:pStyle w:val="Textoindependiente"/>
        <w:ind w:left="17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5329574" cy="103308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574" cy="103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E03" w:rsidRDefault="00473E50">
      <w:pPr>
        <w:pStyle w:val="Textoindependiente"/>
        <w:spacing w:before="1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1062221</wp:posOffset>
                </wp:positionH>
                <wp:positionV relativeFrom="paragraph">
                  <wp:posOffset>172324</wp:posOffset>
                </wp:positionV>
                <wp:extent cx="54362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6235" h="6350">
                              <a:moveTo>
                                <a:pt x="5436107" y="0"/>
                              </a:moveTo>
                              <a:lnTo>
                                <a:pt x="0" y="0"/>
                              </a:lnTo>
                              <a:lnTo>
                                <a:pt x="0" y="6090"/>
                              </a:lnTo>
                              <a:lnTo>
                                <a:pt x="5436107" y="6090"/>
                              </a:lnTo>
                              <a:lnTo>
                                <a:pt x="5436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39519pt;margin-top:13.568885pt;width:428.03999pt;height:.479531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E6E03" w:rsidRDefault="00473E50">
      <w:pPr>
        <w:pStyle w:val="Ttulo"/>
        <w:rPr>
          <w:u w:val="none"/>
        </w:rPr>
      </w:pPr>
      <w:r>
        <w:rPr>
          <w:color w:val="515F6C"/>
          <w:u w:color="515F6C"/>
        </w:rPr>
        <w:t>Ingresos</w:t>
      </w:r>
      <w:r>
        <w:rPr>
          <w:color w:val="515F6C"/>
          <w:spacing w:val="-3"/>
          <w:u w:color="515F6C"/>
        </w:rPr>
        <w:t xml:space="preserve"> </w:t>
      </w:r>
      <w:r>
        <w:rPr>
          <w:color w:val="515F6C"/>
          <w:u w:color="515F6C"/>
        </w:rPr>
        <w:t>Brutos</w:t>
      </w:r>
      <w:r>
        <w:rPr>
          <w:color w:val="515F6C"/>
          <w:spacing w:val="-3"/>
          <w:u w:color="515F6C"/>
        </w:rPr>
        <w:t xml:space="preserve"> </w:t>
      </w:r>
      <w:r>
        <w:rPr>
          <w:color w:val="515F6C"/>
          <w:u w:color="515F6C"/>
        </w:rPr>
        <w:t>–</w:t>
      </w:r>
      <w:r>
        <w:rPr>
          <w:color w:val="515F6C"/>
          <w:spacing w:val="-2"/>
          <w:u w:color="515F6C"/>
        </w:rPr>
        <w:t xml:space="preserve"> </w:t>
      </w:r>
      <w:r>
        <w:rPr>
          <w:color w:val="515F6C"/>
          <w:u w:color="515F6C"/>
        </w:rPr>
        <w:t>Córdoba</w:t>
      </w:r>
      <w:r>
        <w:rPr>
          <w:color w:val="515F6C"/>
          <w:spacing w:val="-1"/>
          <w:u w:color="515F6C"/>
        </w:rPr>
        <w:t xml:space="preserve"> </w:t>
      </w:r>
      <w:r>
        <w:rPr>
          <w:color w:val="515F6C"/>
          <w:u w:color="515F6C"/>
        </w:rPr>
        <w:t>y</w:t>
      </w:r>
      <w:r>
        <w:rPr>
          <w:color w:val="515F6C"/>
          <w:spacing w:val="-2"/>
          <w:u w:color="515F6C"/>
        </w:rPr>
        <w:t xml:space="preserve"> Tucumán</w:t>
      </w:r>
    </w:p>
    <w:p w:rsidR="005E6E03" w:rsidRDefault="005E6E03">
      <w:pPr>
        <w:pStyle w:val="Textoindependiente"/>
        <w:spacing w:before="210"/>
        <w:rPr>
          <w:b/>
          <w:sz w:val="22"/>
        </w:rPr>
      </w:pPr>
    </w:p>
    <w:p w:rsidR="005E6E03" w:rsidRDefault="00473E50">
      <w:pPr>
        <w:ind w:left="142"/>
        <w:rPr>
          <w:b/>
        </w:rPr>
      </w:pPr>
      <w:r>
        <w:rPr>
          <w:b/>
          <w:color w:val="656565"/>
          <w:spacing w:val="-2"/>
          <w:u w:val="single" w:color="656565"/>
        </w:rPr>
        <w:t>Ingresos Brutos</w:t>
      </w:r>
      <w:r>
        <w:rPr>
          <w:b/>
          <w:color w:val="656565"/>
          <w:spacing w:val="-3"/>
          <w:u w:val="single" w:color="656565"/>
        </w:rPr>
        <w:t xml:space="preserve"> </w:t>
      </w:r>
      <w:r>
        <w:rPr>
          <w:b/>
          <w:color w:val="656565"/>
          <w:spacing w:val="-2"/>
          <w:u w:val="single" w:color="656565"/>
        </w:rPr>
        <w:t>sobre acreditaciones</w:t>
      </w:r>
      <w:r>
        <w:rPr>
          <w:b/>
          <w:color w:val="656565"/>
          <w:spacing w:val="-1"/>
          <w:u w:val="single" w:color="656565"/>
        </w:rPr>
        <w:t xml:space="preserve"> </w:t>
      </w:r>
      <w:r>
        <w:rPr>
          <w:b/>
          <w:color w:val="656565"/>
          <w:spacing w:val="-2"/>
          <w:u w:val="single" w:color="656565"/>
        </w:rPr>
        <w:t>en</w:t>
      </w:r>
      <w:r>
        <w:rPr>
          <w:b/>
          <w:color w:val="656565"/>
          <w:spacing w:val="-4"/>
          <w:u w:val="single" w:color="656565"/>
        </w:rPr>
        <w:t xml:space="preserve"> </w:t>
      </w:r>
      <w:r>
        <w:rPr>
          <w:b/>
          <w:color w:val="656565"/>
          <w:spacing w:val="-2"/>
          <w:u w:val="single" w:color="656565"/>
        </w:rPr>
        <w:t>cuentas</w:t>
      </w:r>
      <w:r>
        <w:rPr>
          <w:b/>
          <w:color w:val="656565"/>
          <w:spacing w:val="-3"/>
          <w:u w:val="single" w:color="656565"/>
        </w:rPr>
        <w:t xml:space="preserve"> </w:t>
      </w:r>
      <w:r>
        <w:rPr>
          <w:b/>
          <w:color w:val="656565"/>
          <w:spacing w:val="-2"/>
          <w:u w:val="single" w:color="656565"/>
        </w:rPr>
        <w:t>bancarias</w:t>
      </w:r>
      <w:r>
        <w:rPr>
          <w:b/>
          <w:color w:val="656565"/>
          <w:spacing w:val="-1"/>
          <w:u w:val="single" w:color="656565"/>
        </w:rPr>
        <w:t xml:space="preserve"> </w:t>
      </w:r>
      <w:r>
        <w:rPr>
          <w:b/>
          <w:color w:val="656565"/>
          <w:spacing w:val="-2"/>
          <w:u w:val="single" w:color="656565"/>
        </w:rPr>
        <w:t>por</w:t>
      </w:r>
      <w:r>
        <w:rPr>
          <w:b/>
          <w:color w:val="656565"/>
          <w:spacing w:val="-3"/>
          <w:u w:val="single" w:color="656565"/>
        </w:rPr>
        <w:t xml:space="preserve"> </w:t>
      </w:r>
      <w:r>
        <w:rPr>
          <w:b/>
          <w:color w:val="656565"/>
          <w:spacing w:val="-2"/>
          <w:u w:val="single" w:color="656565"/>
        </w:rPr>
        <w:t>Rescate</w:t>
      </w:r>
      <w:r>
        <w:rPr>
          <w:b/>
          <w:color w:val="656565"/>
          <w:spacing w:val="-1"/>
          <w:u w:val="single" w:color="656565"/>
        </w:rPr>
        <w:t xml:space="preserve"> </w:t>
      </w:r>
      <w:r>
        <w:rPr>
          <w:b/>
          <w:color w:val="656565"/>
          <w:spacing w:val="-2"/>
          <w:u w:val="single" w:color="656565"/>
        </w:rPr>
        <w:t xml:space="preserve">de </w:t>
      </w:r>
      <w:r>
        <w:rPr>
          <w:b/>
          <w:color w:val="656565"/>
          <w:spacing w:val="-4"/>
          <w:u w:val="single" w:color="656565"/>
        </w:rPr>
        <w:t>FCI.</w:t>
      </w:r>
    </w:p>
    <w:p w:rsidR="005E6E03" w:rsidRDefault="00473E50">
      <w:pPr>
        <w:pStyle w:val="Textoindependiente"/>
        <w:spacing w:before="249" w:line="244" w:lineRule="auto"/>
        <w:ind w:left="142" w:right="190"/>
      </w:pPr>
      <w:r>
        <w:rPr>
          <w:color w:val="656565"/>
          <w:w w:val="105"/>
        </w:rPr>
        <w:t>Córdoba (Decreto 1290/2019) y Tucumán (Resolución General DGR 4/2020).</w:t>
      </w:r>
    </w:p>
    <w:p w:rsidR="005E6E03" w:rsidRDefault="005E6E03">
      <w:pPr>
        <w:pStyle w:val="Textoindependiente"/>
        <w:spacing w:before="13"/>
      </w:pPr>
    </w:p>
    <w:p w:rsidR="007D0F70" w:rsidRDefault="00473E50">
      <w:pPr>
        <w:pStyle w:val="Textoindependiente"/>
        <w:spacing w:line="247" w:lineRule="auto"/>
        <w:ind w:left="142" w:right="131"/>
        <w:jc w:val="both"/>
        <w:rPr>
          <w:color w:val="656565"/>
          <w:w w:val="105"/>
        </w:rPr>
      </w:pPr>
      <w:r>
        <w:rPr>
          <w:color w:val="656565"/>
          <w:w w:val="105"/>
        </w:rPr>
        <w:t>La Sociedad Depositaria aplicará una retención de IIBB sobre</w:t>
      </w:r>
      <w:r>
        <w:rPr>
          <w:color w:val="656565"/>
          <w:w w:val="105"/>
        </w:rPr>
        <w:t xml:space="preserve"> el rescate de FCI que realicen los cuotapartistas Personas Jurídicas</w:t>
      </w:r>
    </w:p>
    <w:p w:rsidR="005E6E03" w:rsidRDefault="007D0F70">
      <w:pPr>
        <w:pStyle w:val="Textoindependiente"/>
        <w:spacing w:line="247" w:lineRule="auto"/>
        <w:ind w:left="142" w:right="131"/>
        <w:jc w:val="both"/>
      </w:pPr>
      <w:r>
        <w:rPr>
          <w:color w:val="656565"/>
          <w:w w:val="105"/>
        </w:rPr>
        <w:t xml:space="preserve">(para ambas provincias) y a los cuotapartistas Personas </w:t>
      </w:r>
      <w:r w:rsidR="00473E50">
        <w:rPr>
          <w:color w:val="656565"/>
          <w:w w:val="105"/>
        </w:rPr>
        <w:t>Físicas</w:t>
      </w:r>
      <w:r w:rsidR="0039454B">
        <w:rPr>
          <w:color w:val="656565"/>
          <w:w w:val="105"/>
        </w:rPr>
        <w:t xml:space="preserve"> para el caso de </w:t>
      </w:r>
      <w:r w:rsidR="00473E50">
        <w:rPr>
          <w:color w:val="656565"/>
          <w:w w:val="105"/>
        </w:rPr>
        <w:t>Córdoba</w:t>
      </w:r>
      <w:r w:rsidR="0039454B">
        <w:rPr>
          <w:color w:val="656565"/>
          <w:w w:val="105"/>
        </w:rPr>
        <w:t>,</w:t>
      </w:r>
      <w:r w:rsidR="00473E50">
        <w:rPr>
          <w:color w:val="656565"/>
          <w:w w:val="105"/>
        </w:rPr>
        <w:t xml:space="preserve"> que</w:t>
      </w:r>
      <w:r w:rsidR="00473E50">
        <w:rPr>
          <w:color w:val="656565"/>
          <w:spacing w:val="40"/>
          <w:w w:val="105"/>
        </w:rPr>
        <w:t xml:space="preserve"> </w:t>
      </w:r>
      <w:r w:rsidR="00473E50">
        <w:rPr>
          <w:color w:val="656565"/>
          <w:w w:val="105"/>
        </w:rPr>
        <w:t>se</w:t>
      </w:r>
      <w:r w:rsidR="00473E50">
        <w:rPr>
          <w:color w:val="656565"/>
          <w:spacing w:val="40"/>
          <w:w w:val="105"/>
        </w:rPr>
        <w:t xml:space="preserve"> </w:t>
      </w:r>
      <w:r w:rsidR="00473E50">
        <w:rPr>
          <w:color w:val="656565"/>
          <w:w w:val="105"/>
        </w:rPr>
        <w:t>encuentren</w:t>
      </w:r>
      <w:r w:rsidR="00473E50">
        <w:rPr>
          <w:color w:val="656565"/>
          <w:spacing w:val="40"/>
          <w:w w:val="105"/>
        </w:rPr>
        <w:t xml:space="preserve"> </w:t>
      </w:r>
      <w:r w:rsidR="00473E50">
        <w:rPr>
          <w:color w:val="656565"/>
          <w:w w:val="105"/>
        </w:rPr>
        <w:t>en</w:t>
      </w:r>
      <w:r w:rsidR="00473E50">
        <w:rPr>
          <w:color w:val="656565"/>
          <w:spacing w:val="40"/>
          <w:w w:val="105"/>
        </w:rPr>
        <w:t xml:space="preserve"> </w:t>
      </w:r>
      <w:r w:rsidR="00473E50">
        <w:rPr>
          <w:color w:val="656565"/>
          <w:w w:val="105"/>
        </w:rPr>
        <w:t>el</w:t>
      </w:r>
      <w:r w:rsidR="00473E50">
        <w:rPr>
          <w:color w:val="656565"/>
          <w:spacing w:val="40"/>
          <w:w w:val="105"/>
        </w:rPr>
        <w:t xml:space="preserve"> </w:t>
      </w:r>
      <w:r w:rsidR="00473E50">
        <w:rPr>
          <w:color w:val="656565"/>
          <w:w w:val="105"/>
        </w:rPr>
        <w:t>padrón</w:t>
      </w:r>
      <w:r w:rsidR="00473E50">
        <w:rPr>
          <w:color w:val="656565"/>
          <w:spacing w:val="40"/>
          <w:w w:val="105"/>
        </w:rPr>
        <w:t xml:space="preserve"> </w:t>
      </w:r>
      <w:r w:rsidR="00473E50">
        <w:rPr>
          <w:color w:val="656565"/>
          <w:w w:val="105"/>
        </w:rPr>
        <w:t>mensual</w:t>
      </w:r>
      <w:r w:rsidR="00473E50">
        <w:rPr>
          <w:color w:val="656565"/>
          <w:spacing w:val="40"/>
          <w:w w:val="105"/>
        </w:rPr>
        <w:t xml:space="preserve"> </w:t>
      </w:r>
      <w:r w:rsidR="00473E50">
        <w:rPr>
          <w:color w:val="656565"/>
          <w:w w:val="105"/>
        </w:rPr>
        <w:t>de</w:t>
      </w:r>
      <w:r w:rsidR="00473E50">
        <w:rPr>
          <w:color w:val="656565"/>
          <w:spacing w:val="40"/>
          <w:w w:val="105"/>
        </w:rPr>
        <w:t xml:space="preserve"> </w:t>
      </w:r>
      <w:r w:rsidR="00473E50">
        <w:rPr>
          <w:color w:val="656565"/>
          <w:w w:val="105"/>
        </w:rPr>
        <w:t>los</w:t>
      </w:r>
      <w:r w:rsidR="00473E50">
        <w:rPr>
          <w:color w:val="656565"/>
          <w:spacing w:val="40"/>
          <w:w w:val="105"/>
        </w:rPr>
        <w:t xml:space="preserve"> </w:t>
      </w:r>
      <w:r w:rsidR="00473E50">
        <w:rPr>
          <w:color w:val="656565"/>
          <w:w w:val="105"/>
        </w:rPr>
        <w:t>mencionados entes provinciales de acuerdo a las alícuotas previstas en los</w:t>
      </w:r>
      <w:r w:rsidR="00473E50">
        <w:rPr>
          <w:color w:val="656565"/>
          <w:spacing w:val="40"/>
          <w:w w:val="105"/>
        </w:rPr>
        <w:t xml:space="preserve"> </w:t>
      </w:r>
      <w:r w:rsidR="00473E50">
        <w:rPr>
          <w:color w:val="656565"/>
          <w:w w:val="105"/>
        </w:rPr>
        <w:t>citados decretos.</w:t>
      </w:r>
      <w:bookmarkStart w:id="0" w:name="_GoBack"/>
      <w:bookmarkEnd w:id="0"/>
    </w:p>
    <w:sectPr w:rsidR="005E6E03">
      <w:type w:val="continuous"/>
      <w:pgSz w:w="11900" w:h="16840"/>
      <w:pgMar w:top="72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6E03"/>
    <w:rsid w:val="0039454B"/>
    <w:rsid w:val="00473E50"/>
    <w:rsid w:val="005E6E03"/>
    <w:rsid w:val="007A3EB7"/>
    <w:rsid w:val="007D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199"/>
      <w:ind w:left="5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D0F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F70"/>
    <w:rPr>
      <w:rFonts w:ascii="Tahoma" w:eastAsia="Cambri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199"/>
      <w:ind w:left="5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D0F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F70"/>
    <w:rPr>
      <w:rFonts w:ascii="Tahoma" w:eastAsia="Cambri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IIBB - C\363rdoba y Tucum\341n.doc)</vt:lpstr>
    </vt:vector>
  </TitlesOfParts>
  <Company>BCCL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IIBB - C\363rdoba y Tucum\341n.doc)</dc:title>
  <dc:creator>hagonzalez</dc:creator>
  <cp:lastModifiedBy>BCCL</cp:lastModifiedBy>
  <cp:revision>4</cp:revision>
  <dcterms:created xsi:type="dcterms:W3CDTF">2025-01-30T16:45:00Z</dcterms:created>
  <dcterms:modified xsi:type="dcterms:W3CDTF">2025-01-30T16:48:00Z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2025-01-30T00:00:00Z</vt:filetime>
  </property>
  <property fmtid="{D5CDD505-2E9C-101B-9397-08002B2CF9AE}" pid="5" name="Producer">
    <vt:lpwstr>GPL Ghostscript 8.15</vt:lpwstr>
  </property>
</Properties>
</file>